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jc w:val="right"/>
      </w:pPr>
      <w:r>
        <w:rPr>
          <w:rFonts w:ascii="Times New Roman" w:eastAsia="宋体" w:hAnsi="Times New Roman"/>
          <w:b w:val="false"/>
          <w:bCs w:val="false"/>
          <w:color w:val="000000"/>
          <w:sz w:val="21"/>
          <w:szCs w:val="21"/>
        </w:rPr>
        <w:t xml:space="preserve">合同编号：SC-HT-2026-001</w:t>
      </w:r>
    </w:p>
    <w:p>
      <w:pPr>
        <w:spacing w:after="120" w:before="120" w:line="500"/>
        <w:jc w:val="center"/>
      </w:pPr>
      <w:r>
        <w:rPr>
          <w:rFonts w:ascii="SimHei" w:eastAsia="黑体" w:hAnsi="SimHei"/>
          <w:b w:val="false"/>
          <w:bCs w:val="false"/>
          <w:color w:val="000000"/>
          <w:sz w:val="44"/>
          <w:szCs w:val="44"/>
        </w:rPr>
        <w:t xml:space="preserve">省事业部合作代理合同</w:t>
      </w:r>
    </w:p>
    <w:p>
      <w:pPr>
        <w:spacing w:after="200" w:before="0"/>
        <w:jc w:val="center"/>
      </w:pPr>
      <w:r>
        <w:rPr>
          <w:rFonts w:ascii="Times New Roman" w:eastAsia="宋体" w:hAnsi="Times New Roman"/>
          <w:b w:val="false"/>
          <w:bCs w:val="false"/>
          <w:color w:val="000000"/>
          <w:sz w:val="21"/>
          <w:szCs w:val="21"/>
        </w:rPr>
        <w:t xml:space="preserve">（拟定稿，供内部审议及律师事务所定稿使用）</w:t>
      </w:r>
    </w:p>
    <w:p>
      <w:pPr>
        <w:keepNext w:val="false"/>
        <w:spacing w:after="20" w:before="0" w:line="360"/>
        <w:jc w:val="both"/>
      </w:pPr>
      <w:r>
        <w:rPr>
          <w:rFonts w:ascii="SimHei" w:eastAsia="黑体" w:hAnsi="SimHei"/>
          <w:b w:val="false"/>
          <w:bCs w:val="false"/>
          <w:color w:val="000000"/>
          <w:sz w:val="22"/>
          <w:szCs w:val="22"/>
        </w:rPr>
        <w:t xml:space="preserve">甲方：浙江数昌科技有限公司</w:t>
      </w:r>
    </w:p>
    <w:p>
      <w:pPr>
        <w:keepNext w:val="false"/>
        <w:spacing w:after="20" w:before="0" w:line="360"/>
        <w:jc w:val="both"/>
      </w:pPr>
      <w:r>
        <w:rPr>
          <w:rFonts w:ascii="Times New Roman" w:eastAsia="宋体" w:hAnsi="Times New Roman"/>
          <w:b w:val="false"/>
          <w:bCs w:val="false"/>
          <w:color w:val="000000"/>
          <w:sz w:val="21"/>
          <w:szCs w:val="21"/>
        </w:rPr>
        <w:t xml:space="preserve">住所：〔　〕</w:t>
      </w:r>
    </w:p>
    <w:p>
      <w:pPr>
        <w:keepNext w:val="false"/>
        <w:spacing w:after="20" w:before="0" w:line="360"/>
        <w:jc w:val="both"/>
      </w:pPr>
      <w:r>
        <w:rPr>
          <w:rFonts w:ascii="Times New Roman" w:eastAsia="宋体" w:hAnsi="Times New Roman"/>
          <w:b w:val="false"/>
          <w:bCs w:val="false"/>
          <w:color w:val="000000"/>
          <w:sz w:val="21"/>
          <w:szCs w:val="21"/>
        </w:rPr>
        <w:t xml:space="preserve">法定代表人：〔　〕</w:t>
      </w:r>
    </w:p>
    <w:p>
      <w:pPr>
        <w:keepNext w:val="false"/>
        <w:spacing w:after="20" w:before="0" w:line="360"/>
        <w:jc w:val="both"/>
      </w:pPr>
      <w:r>
        <w:rPr>
          <w:rFonts w:ascii="Times New Roman" w:eastAsia="宋体" w:hAnsi="Times New Roman"/>
          <w:b w:val="false"/>
          <w:bCs w:val="false"/>
          <w:color w:val="000000"/>
          <w:sz w:val="21"/>
          <w:szCs w:val="21"/>
        </w:rPr>
        <w:t xml:space="preserve">统一社会信用代码：〔　〕</w:t>
      </w:r>
    </w:p>
    <w:p>
      <w:pPr>
        <w:spacing w:after="60" w:before="0"/>
      </w:pPr>
    </w:p>
    <w:p>
      <w:pPr>
        <w:keepNext w:val="false"/>
        <w:spacing w:after="20" w:before="0" w:line="360"/>
        <w:jc w:val="both"/>
      </w:pPr>
      <w:r>
        <w:rPr>
          <w:rFonts w:ascii="SimHei" w:eastAsia="黑体" w:hAnsi="SimHei"/>
          <w:b w:val="false"/>
          <w:bCs w:val="false"/>
          <w:color w:val="000000"/>
          <w:sz w:val="22"/>
          <w:szCs w:val="22"/>
        </w:rPr>
        <w:t xml:space="preserve">乙方：〔　〕</w:t>
      </w:r>
    </w:p>
    <w:p>
      <w:pPr>
        <w:keepNext w:val="false"/>
        <w:spacing w:after="20" w:before="0" w:line="360"/>
        <w:jc w:val="both"/>
      </w:pPr>
      <w:r>
        <w:rPr>
          <w:rFonts w:ascii="Times New Roman" w:eastAsia="宋体" w:hAnsi="Times New Roman"/>
          <w:b w:val="false"/>
          <w:bCs w:val="false"/>
          <w:color w:val="000000"/>
          <w:sz w:val="21"/>
          <w:szCs w:val="21"/>
        </w:rPr>
        <w:t xml:space="preserve">住所：〔　〕</w:t>
      </w:r>
    </w:p>
    <w:p>
      <w:pPr>
        <w:keepNext w:val="false"/>
        <w:spacing w:after="20" w:before="0" w:line="360"/>
        <w:jc w:val="both"/>
      </w:pPr>
      <w:r>
        <w:rPr>
          <w:rFonts w:ascii="Times New Roman" w:eastAsia="宋体" w:hAnsi="Times New Roman"/>
          <w:b w:val="false"/>
          <w:bCs w:val="false"/>
          <w:color w:val="000000"/>
          <w:sz w:val="21"/>
          <w:szCs w:val="21"/>
        </w:rPr>
        <w:t xml:space="preserve">法定代表人：〔　〕</w:t>
      </w:r>
    </w:p>
    <w:p>
      <w:pPr>
        <w:keepNext w:val="false"/>
        <w:spacing w:after="20" w:before="0" w:line="360"/>
        <w:jc w:val="both"/>
      </w:pPr>
      <w:r>
        <w:rPr>
          <w:rFonts w:ascii="Times New Roman" w:eastAsia="宋体" w:hAnsi="Times New Roman"/>
          <w:b w:val="false"/>
          <w:bCs w:val="false"/>
          <w:color w:val="000000"/>
          <w:sz w:val="21"/>
          <w:szCs w:val="21"/>
        </w:rPr>
        <w:t xml:space="preserve">统一社会信用代码：〔　〕</w:t>
      </w:r>
    </w:p>
    <w:p>
      <w:pPr>
        <w:spacing w:after="60" w:before="0"/>
      </w:pPr>
    </w:p>
    <w:p>
      <w:pPr>
        <w:keepNext w:val="false"/>
        <w:spacing w:after="60" w:before="0" w:line="360"/>
        <w:jc w:val="both"/>
      </w:pPr>
      <w:r>
        <w:rPr>
          <w:rFonts w:ascii="Times New Roman" w:eastAsia="宋体" w:hAnsi="Times New Roman"/>
          <w:b w:val="false"/>
          <w:bCs w:val="false"/>
          <w:color w:val="000000"/>
          <w:sz w:val="21"/>
          <w:szCs w:val="21"/>
        </w:rPr>
        <w:t xml:space="preserve">鉴于：</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（一）为落实国家数据要素市场化配置改革部署及可信数据空间创新发展试点工作要求，甲方建设并运营消费行业可信数据空间；</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（二）甲方已依法取得开展前述业务所需的上游授权，该授权的性质与期限已向乙方披露，乙方对此知悉并认可；</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（三）乙方为依法设立并有效存续的公司，自愿申请成为甲方在〔省份〕行政区域内的省事业部，并确认已对本合同项下合作进行独立评估与判断。</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根据《中华人民共和国民法典》及相关法律法规，双方经平等协商，就省事业部合作事宜达成如下协议：</w:t>
      </w:r>
    </w:p>
    <w:p>
      <w:pPr>
        <w:keepNext/>
        <w:spacing w:after="140" w:before="260" w:line="360"/>
        <w:jc w:val="center"/>
      </w:pPr>
      <w:r>
        <w:rPr>
          <w:rFonts w:ascii="SimHei" w:eastAsia="黑体" w:hAnsi="SimHei"/>
          <w:b w:val="false"/>
          <w:bCs w:val="false"/>
          <w:color w:val="000000"/>
          <w:sz w:val="28"/>
          <w:szCs w:val="28"/>
        </w:rPr>
        <w:t xml:space="preserve">第一章　定义</w:t>
      </w:r>
    </w:p>
    <w:p>
      <w:pPr>
        <w:keepNext/>
        <w:spacing w:after="60" w:before="160" w:line="360"/>
        <w:jc w:val="left"/>
      </w:pPr>
      <w:r>
        <w:rPr>
          <w:rFonts w:ascii="SimHei" w:eastAsia="黑体" w:hAnsi="SimHei"/>
          <w:b w:val="false"/>
          <w:bCs w:val="false"/>
          <w:color w:val="000000"/>
          <w:sz w:val="22"/>
          <w:szCs w:val="22"/>
        </w:rPr>
        <w:t xml:space="preserve">第一条　除本合同另有约定外，下列用语具有以下含义：</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（一）可信数据空间：指在国家数据基础制度框架下，支撑数据安全、合规流通与使用的基础设施，本合同项下指甲方建设运营的消费行业可信数据空间；</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（二）超级物理节点：指乙方在授权区域内建设并运营的省级数据基础设施节点；</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（三）平台：指甲方提供的可信数据空间平台及配套系统，包括区块链系统、区域数据账本、结算中台及商户接入工具；</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（四）区县事业部：指乙方在授权区域内发展的区县级合作方；</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（五）收益：指乙方因本合同项下业务取得的年度收益，其基数以平台智能合约自动统计的数据为准，具体统计范围见附件五；</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（六）考核办法：指《省区县事业部考核办法》（SC-BF-2026-001），为本合同附件，与本合同具有同等法律效力。</w:t>
      </w:r>
    </w:p>
    <w:p>
      <w:pPr>
        <w:keepNext/>
        <w:spacing w:after="140" w:before="260" w:line="360"/>
        <w:jc w:val="center"/>
      </w:pPr>
      <w:r>
        <w:rPr>
          <w:rFonts w:ascii="SimHei" w:eastAsia="黑体" w:hAnsi="SimHei"/>
          <w:b w:val="false"/>
          <w:bCs w:val="false"/>
          <w:color w:val="000000"/>
          <w:sz w:val="28"/>
          <w:szCs w:val="28"/>
        </w:rPr>
        <w:t xml:space="preserve">第二章　授权</w:t>
      </w:r>
    </w:p>
    <w:p>
      <w:pPr>
        <w:keepNext/>
        <w:spacing w:after="60" w:before="160" w:line="360"/>
        <w:jc w:val="left"/>
      </w:pPr>
      <w:r>
        <w:rPr>
          <w:rFonts w:ascii="SimHei" w:eastAsia="黑体" w:hAnsi="SimHei"/>
          <w:b w:val="false"/>
          <w:bCs w:val="false"/>
          <w:color w:val="000000"/>
          <w:sz w:val="22"/>
          <w:szCs w:val="22"/>
        </w:rPr>
        <w:t xml:space="preserve">第二条　授权设立</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甲方授权乙方为〔省份〕行政区域内的省事业部，一省仅设一家。设立程序为：乙方书面申请，甲方审核通过后签订本合同。授权区域所含市、县（区）清单见附件三。</w:t>
      </w:r>
    </w:p>
    <w:p>
      <w:pPr>
        <w:keepNext/>
        <w:spacing w:after="60" w:before="160" w:line="360"/>
        <w:jc w:val="left"/>
      </w:pPr>
      <w:r>
        <w:rPr>
          <w:rFonts w:ascii="SimHei" w:eastAsia="黑体" w:hAnsi="SimHei"/>
          <w:b w:val="false"/>
          <w:bCs w:val="false"/>
          <w:color w:val="000000"/>
          <w:sz w:val="22"/>
          <w:szCs w:val="22"/>
        </w:rPr>
        <w:t xml:space="preserve">第三条　授权内容</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乙方在授权区域内有权从事下列活动：（一）建设并运营超级物理节点；（二）推广可信数据空间业务；（三）发展区县事业部；（四）组织商户接入及数据要素人才培训。</w:t>
      </w:r>
    </w:p>
    <w:p>
      <w:pPr>
        <w:keepNext/>
        <w:spacing w:after="60" w:before="160" w:line="360"/>
        <w:jc w:val="left"/>
      </w:pPr>
      <w:r>
        <w:rPr>
          <w:rFonts w:ascii="SimHei" w:eastAsia="黑体" w:hAnsi="SimHei"/>
          <w:b w:val="false"/>
          <w:bCs w:val="false"/>
          <w:color w:val="000000"/>
          <w:sz w:val="22"/>
          <w:szCs w:val="22"/>
        </w:rPr>
        <w:t xml:space="preserve">第四条　授权性质</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甲方在其自上游取得的授权范围与强度内，就授权区域向乙方作出排他性授权。上游授权发生变化的，甲方应当及时书面通知乙方，双方协商调整或者采取补救措施。本授权为经营性授权，不构成任何知识产权的转让。品牌、技术、平台及数据的全部权利归甲方所有。</w:t>
      </w:r>
    </w:p>
    <w:p>
      <w:pPr>
        <w:keepNext/>
        <w:spacing w:after="60" w:before="160" w:line="360"/>
        <w:jc w:val="left"/>
      </w:pPr>
      <w:r>
        <w:rPr>
          <w:rFonts w:ascii="SimHei" w:eastAsia="黑体" w:hAnsi="SimHei"/>
          <w:b w:val="false"/>
          <w:bCs w:val="false"/>
          <w:color w:val="000000"/>
          <w:sz w:val="22"/>
          <w:szCs w:val="22"/>
        </w:rPr>
        <w:t xml:space="preserve">第五条　合同期限</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本合同首期期限为三年，自生效之日起算，期满可以续签；同等条件下乙方享有优先续约权。本合同期限不超过甲方上游授权的剩余期限；上游授权续期的，本合同期限相应顺延。</w:t>
      </w:r>
    </w:p>
    <w:p>
      <w:pPr>
        <w:keepNext/>
        <w:spacing w:after="60" w:before="160" w:line="360"/>
        <w:jc w:val="left"/>
      </w:pPr>
      <w:r>
        <w:rPr>
          <w:rFonts w:ascii="SimHei" w:eastAsia="黑体" w:hAnsi="SimHei"/>
          <w:b w:val="false"/>
          <w:bCs w:val="false"/>
          <w:color w:val="000000"/>
          <w:sz w:val="22"/>
          <w:szCs w:val="22"/>
        </w:rPr>
        <w:t xml:space="preserve">第六条　区县转授权</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有权在授权区域内自主发展区县事业部并自主定价，但转授权范围不得超出本合同授权范围。区县事业部与甲方不建立直接合同关系，区县事业部的行为责任由乙方承担。乙方与区县事业部签约，应当使用甲方审定的合同模板（附件四），并按甲方文档编号规则编号存档。</w:t>
      </w:r>
    </w:p>
    <w:p>
      <w:pPr>
        <w:keepNext/>
        <w:spacing w:after="140" w:before="260" w:line="360"/>
        <w:jc w:val="center"/>
      </w:pPr>
      <w:r>
        <w:rPr>
          <w:rFonts w:ascii="SimHei" w:eastAsia="黑体" w:hAnsi="SimHei"/>
          <w:b w:val="false"/>
          <w:bCs w:val="false"/>
          <w:color w:val="000000"/>
          <w:sz w:val="28"/>
          <w:szCs w:val="28"/>
        </w:rPr>
        <w:t xml:space="preserve">第三章　费用与支付</w:t>
      </w:r>
    </w:p>
    <w:p>
      <w:pPr>
        <w:keepNext/>
        <w:spacing w:after="60" w:before="160" w:line="360"/>
        <w:jc w:val="left"/>
      </w:pPr>
      <w:r>
        <w:rPr>
          <w:rFonts w:ascii="SimHei" w:eastAsia="黑体" w:hAnsi="SimHei"/>
          <w:b w:val="false"/>
          <w:bCs w:val="false"/>
          <w:color w:val="000000"/>
          <w:sz w:val="22"/>
          <w:szCs w:val="22"/>
        </w:rPr>
        <w:t xml:space="preserve">第七条　首年费用</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本合同首年费用为人民币 3,000 万元（大写：叁仟万元整），一次性收取，包含超级物理节点建设费及首年平台技术服务费。</w:t>
      </w:r>
    </w:p>
    <w:p>
      <w:pPr>
        <w:keepNext/>
        <w:spacing w:after="60" w:before="160" w:line="360"/>
        <w:jc w:val="left"/>
      </w:pPr>
      <w:r>
        <w:rPr>
          <w:rFonts w:ascii="SimHei" w:eastAsia="黑体" w:hAnsi="SimHei"/>
          <w:b w:val="false"/>
          <w:bCs w:val="false"/>
          <w:color w:val="000000"/>
          <w:sz w:val="22"/>
          <w:szCs w:val="22"/>
        </w:rPr>
        <w:t xml:space="preserve">第八条　支付方式</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乙方应当于本合同签订之日起 7 日内支付首年费用的 10%，即人民币 300 万元；剩余款项人民币 2,700 万元应当于本合同签订之日起 2 个月内付清。乙方逾期付款的，每逾期一日，按逾期金额的万分之〔　〕向甲方支付违约金。</w:t>
      </w:r>
    </w:p>
    <w:p>
      <w:pPr>
        <w:keepNext/>
        <w:spacing w:after="60" w:before="160" w:line="360"/>
        <w:jc w:val="left"/>
      </w:pPr>
      <w:r>
        <w:rPr>
          <w:rFonts w:ascii="SimHei" w:eastAsia="黑体" w:hAnsi="SimHei"/>
          <w:b w:val="false"/>
          <w:bCs w:val="false"/>
          <w:color w:val="000000"/>
          <w:sz w:val="22"/>
          <w:szCs w:val="22"/>
        </w:rPr>
        <w:t xml:space="preserve">第九条　技术服务费</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自本合同第二年度起，乙方按其年度收益的 20% 向甲方缴纳平台技术服务费。收益基数以平台智能合约自动统计的数据为准，统计范围按附件五执行。</w:t>
      </w:r>
    </w:p>
    <w:p>
      <w:pPr>
        <w:keepNext/>
        <w:spacing w:after="60" w:before="160" w:line="360"/>
        <w:jc w:val="left"/>
      </w:pPr>
      <w:r>
        <w:rPr>
          <w:rFonts w:ascii="SimHei" w:eastAsia="黑体" w:hAnsi="SimHei"/>
          <w:b w:val="false"/>
          <w:bCs w:val="false"/>
          <w:color w:val="000000"/>
          <w:sz w:val="22"/>
          <w:szCs w:val="22"/>
        </w:rPr>
        <w:t xml:space="preserve">第十条　查账权</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甲方有权查验乙方与收益相关的账簿及凭证，乙方应当予以配合。经查证乙方少报收益的，乙方应当补缴相应技术服务费，并按少报金额的〔　〕% 向甲方支付违约金。</w:t>
      </w:r>
    </w:p>
    <w:p>
      <w:pPr>
        <w:keepNext/>
        <w:spacing w:after="60" w:before="160" w:line="360"/>
        <w:jc w:val="left"/>
      </w:pPr>
      <w:r>
        <w:rPr>
          <w:rFonts w:ascii="SimHei" w:eastAsia="黑体" w:hAnsi="SimHei"/>
          <w:b w:val="false"/>
          <w:bCs w:val="false"/>
          <w:color w:val="000000"/>
          <w:sz w:val="22"/>
          <w:szCs w:val="22"/>
        </w:rPr>
        <w:t xml:space="preserve">第十一条　费用不予退还</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乙方缴纳的各项费用，除因甲方根本违约导致本合同解除外，一经缴纳不予退还；本合同解除的，已缴费用亦不予退还。</w:t>
      </w:r>
    </w:p>
    <w:p>
      <w:pPr>
        <w:keepNext/>
        <w:spacing w:after="140" w:before="260" w:line="360"/>
        <w:jc w:val="center"/>
      </w:pPr>
      <w:r>
        <w:rPr>
          <w:rFonts w:ascii="SimHei" w:eastAsia="黑体" w:hAnsi="SimHei"/>
          <w:b w:val="false"/>
          <w:bCs w:val="false"/>
          <w:color w:val="000000"/>
          <w:sz w:val="28"/>
          <w:szCs w:val="28"/>
        </w:rPr>
        <w:t xml:space="preserve">第四章　建制要求</w:t>
      </w:r>
    </w:p>
    <w:p>
      <w:pPr>
        <w:keepNext/>
        <w:spacing w:after="60" w:before="160" w:line="360"/>
        <w:jc w:val="left"/>
      </w:pPr>
      <w:r>
        <w:rPr>
          <w:rFonts w:ascii="SimHei" w:eastAsia="黑体" w:hAnsi="SimHei"/>
          <w:b w:val="false"/>
          <w:bCs w:val="false"/>
          <w:color w:val="000000"/>
          <w:sz w:val="22"/>
          <w:szCs w:val="22"/>
        </w:rPr>
        <w:t xml:space="preserve">第十二条　人员建制</w:t>
      </w:r>
    </w:p>
    <w:p>
      <w:pPr>
        <w:keepNext w:val="false"/>
        <w:spacing w:after="80" w:before="0" w:line="360"/>
        <w:ind w:firstLine="420"/>
        <w:jc w:val="both"/>
      </w:pPr>
      <w:r>
        <w:rPr>
          <w:rFonts w:ascii="Times New Roman" w:eastAsia="宋体" w:hAnsi="Times New Roman"/>
          <w:b w:val="false"/>
          <w:bCs w:val="false"/>
          <w:color w:val="000000"/>
          <w:sz w:val="21"/>
          <w:szCs w:val="21"/>
        </w:rPr>
        <w:t xml:space="preserve">乙方应当配备不少于 25 人的核心团队：</w:t>
      </w:r>
    </w:p>
    <w:tbl>
      <w:tblPr>
        <w:tblW w:type="dxa" w:w="9026"/>
        <w:tblBorders>
          <w:top w:val="single" w:color="000000" w:sz="4"/>
          <w:left w:val="single" w:color="000000" w:sz="4"/>
          <w:bottom w:val="single" w:color="000000" w:sz="4"/>
          <w:right w:val="single" w:color="000000" w:sz="4"/>
          <w:insideH w:val="single" w:color="000000" w:sz="4"/>
          <w:insideV w:val="single" w:color="000000" w:sz="4"/>
        </w:tblBorders>
      </w:tblPr>
      <w:tblGrid>
        <w:gridCol w:w="2700"/>
        <w:gridCol w:w="1500"/>
        <w:gridCol w:w="4826"/>
      </w:tblGrid>
      <w:tr>
        <w:trPr>
          <w:cantSplit/>
          <w:tblHeader/>
        </w:trPr>
        <w:tc>
          <w:tcPr>
            <w:tcW w:type="dxa" w:w="2700"/>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岗位</w:t>
            </w:r>
          </w:p>
        </w:tc>
        <w:tc>
          <w:tcPr>
            <w:tcW w:type="dxa" w:w="1500"/>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人数</w:t>
            </w:r>
          </w:p>
        </w:tc>
        <w:tc>
          <w:tcPr>
            <w:tcW w:type="dxa" w:w="4826"/>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任职要求</w:t>
            </w:r>
          </w:p>
        </w:tc>
      </w:tr>
      <w:tr>
        <w:trPr>
          <w:cantSplit/>
        </w:trPr>
        <w:tc>
          <w:tcPr>
            <w:tcW w:type="dxa" w:w="27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讲师</w:t>
            </w:r>
          </w:p>
        </w:tc>
        <w:tc>
          <w:tcPr>
            <w:tcW w:type="dxa" w:w="15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5 名</w:t>
            </w:r>
          </w:p>
        </w:tc>
        <w:tc>
          <w:tcPr>
            <w:tcW w:type="dxa" w:w="4826"/>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具备甲方认证的授课资质</w:t>
            </w:r>
          </w:p>
        </w:tc>
      </w:tr>
      <w:tr>
        <w:trPr>
          <w:cantSplit/>
        </w:trPr>
        <w:tc>
          <w:tcPr>
            <w:tcW w:type="dxa" w:w="27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主持人</w:t>
            </w:r>
          </w:p>
        </w:tc>
        <w:tc>
          <w:tcPr>
            <w:tcW w:type="dxa" w:w="15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5 名</w:t>
            </w:r>
          </w:p>
        </w:tc>
        <w:tc>
          <w:tcPr>
            <w:tcW w:type="dxa" w:w="4826"/>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负责活动与开班主持</w:t>
            </w:r>
          </w:p>
        </w:tc>
      </w:tr>
      <w:tr>
        <w:trPr>
          <w:cantSplit/>
        </w:trPr>
        <w:tc>
          <w:tcPr>
            <w:tcW w:type="dxa" w:w="27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DJ</w:t>
            </w:r>
          </w:p>
        </w:tc>
        <w:tc>
          <w:tcPr>
            <w:tcW w:type="dxa" w:w="15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5 名</w:t>
            </w:r>
          </w:p>
        </w:tc>
        <w:tc>
          <w:tcPr>
            <w:tcW w:type="dxa" w:w="4826"/>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负责现场活动氛围</w:t>
            </w:r>
          </w:p>
        </w:tc>
      </w:tr>
      <w:tr>
        <w:trPr>
          <w:cantSplit/>
        </w:trPr>
        <w:tc>
          <w:tcPr>
            <w:tcW w:type="dxa" w:w="27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会务</w:t>
            </w:r>
          </w:p>
        </w:tc>
        <w:tc>
          <w:tcPr>
            <w:tcW w:type="dxa" w:w="15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5 名</w:t>
            </w:r>
          </w:p>
        </w:tc>
        <w:tc>
          <w:tcPr>
            <w:tcW w:type="dxa" w:w="4826"/>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负责培训与活动执行</w:t>
            </w:r>
          </w:p>
        </w:tc>
      </w:tr>
      <w:tr>
        <w:trPr>
          <w:cantSplit/>
        </w:trPr>
        <w:tc>
          <w:tcPr>
            <w:tcW w:type="dxa" w:w="2700"/>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首席数据官</w:t>
            </w:r>
          </w:p>
        </w:tc>
        <w:tc>
          <w:tcPr>
            <w:tcW w:type="dxa" w:w="1500"/>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5 名</w:t>
            </w:r>
          </w:p>
        </w:tc>
        <w:tc>
          <w:tcPr>
            <w:tcW w:type="dxa" w:w="4826"/>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本科及以上学历，年龄 45 周岁以下</w:t>
            </w:r>
          </w:p>
        </w:tc>
      </w:tr>
    </w:tbl>
    <w:p>
      <w:pPr>
        <w:spacing w:after="60" w:before="0"/>
      </w:pPr>
    </w:p>
    <w:p>
      <w:pPr>
        <w:keepNext/>
        <w:spacing w:after="60" w:before="160" w:line="360"/>
        <w:jc w:val="left"/>
      </w:pPr>
      <w:r>
        <w:rPr>
          <w:rFonts w:ascii="SimHei" w:eastAsia="黑体" w:hAnsi="SimHei"/>
          <w:b w:val="false"/>
          <w:bCs w:val="false"/>
          <w:color w:val="000000"/>
          <w:sz w:val="22"/>
          <w:szCs w:val="22"/>
        </w:rPr>
        <w:t xml:space="preserve">第十三条　场地与组织建制</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乙方应当具备 1,000 平方米以上的办公场地（自有或租赁，租期覆盖合同期限），并设立市场部、运营部、培训学院、行政部、财务部，与甲方总部组织架构对齐。</w:t>
      </w:r>
    </w:p>
    <w:p>
      <w:pPr>
        <w:keepNext/>
        <w:spacing w:after="60" w:before="160" w:line="360"/>
        <w:jc w:val="left"/>
      </w:pPr>
      <w:r>
        <w:rPr>
          <w:rFonts w:ascii="SimHei" w:eastAsia="黑体" w:hAnsi="SimHei"/>
          <w:b w:val="false"/>
          <w:bCs w:val="false"/>
          <w:color w:val="000000"/>
          <w:sz w:val="22"/>
          <w:szCs w:val="22"/>
        </w:rPr>
        <w:t xml:space="preserve">第十四条　配齐期限</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乙方应当自本合同签订之日起 90 日内配齐本章约定的全部建制；逾期未配齐的，视为建制考核不达标。</w:t>
      </w:r>
    </w:p>
    <w:p>
      <w:pPr>
        <w:keepNext/>
        <w:spacing w:after="140" w:before="260" w:line="360"/>
        <w:jc w:val="center"/>
      </w:pPr>
      <w:r>
        <w:rPr>
          <w:rFonts w:ascii="SimHei" w:eastAsia="黑体" w:hAnsi="SimHei"/>
          <w:b w:val="false"/>
          <w:bCs w:val="false"/>
          <w:color w:val="000000"/>
          <w:sz w:val="28"/>
          <w:szCs w:val="28"/>
        </w:rPr>
        <w:t xml:space="preserve">第五章　专营义务与合规</w:t>
      </w:r>
    </w:p>
    <w:p>
      <w:pPr>
        <w:keepNext/>
        <w:spacing w:after="60" w:before="160" w:line="360"/>
        <w:jc w:val="left"/>
      </w:pPr>
      <w:r>
        <w:rPr>
          <w:rFonts w:ascii="SimHei" w:eastAsia="黑体" w:hAnsi="SimHei"/>
          <w:b w:val="false"/>
          <w:bCs w:val="false"/>
          <w:color w:val="000000"/>
          <w:sz w:val="22"/>
          <w:szCs w:val="22"/>
        </w:rPr>
        <w:t xml:space="preserve">第十五条　专营义务</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代理期间，乙方仅经营本合同约定的业务，不得同时经营与本合同业务相同、类似或者存在利益冲突的其他业务，并应当确保其发展的区县事业部承担同等义务。</w:t>
      </w:r>
    </w:p>
    <w:p>
      <w:pPr>
        <w:keepNext/>
        <w:spacing w:after="60" w:before="160" w:line="360"/>
        <w:jc w:val="left"/>
      </w:pPr>
      <w:r>
        <w:rPr>
          <w:rFonts w:ascii="SimHei" w:eastAsia="黑体" w:hAnsi="SimHei"/>
          <w:b w:val="false"/>
          <w:bCs w:val="false"/>
          <w:color w:val="000000"/>
          <w:sz w:val="22"/>
          <w:szCs w:val="22"/>
        </w:rPr>
        <w:t xml:space="preserve">第十六条　合规底线</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乙方不得从事下列行为：（一）发行或者变相发行任何形式的代币；（二）非法集资；（三）向任何人承诺保本或者收益；（四）设立资金池。</w:t>
      </w:r>
    </w:p>
    <w:p>
      <w:pPr>
        <w:keepNext/>
        <w:spacing w:after="60" w:before="160" w:line="360"/>
        <w:jc w:val="left"/>
      </w:pPr>
      <w:r>
        <w:rPr>
          <w:rFonts w:ascii="SimHei" w:eastAsia="黑体" w:hAnsi="SimHei"/>
          <w:b w:val="false"/>
          <w:bCs w:val="false"/>
          <w:color w:val="000000"/>
          <w:sz w:val="22"/>
          <w:szCs w:val="22"/>
        </w:rPr>
        <w:t xml:space="preserve">第十七条　收益承诺的排除</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甲方未向乙方作出任何关于收益、回报或者回本周期的承诺。乙方确认其签订本合同系基于自身独立判断。任何测算表、模型或者示例数字仅为计算逻辑演示，不构成收益预测，不作为本合同附件。</w:t>
      </w:r>
    </w:p>
    <w:p>
      <w:pPr>
        <w:keepNext/>
        <w:spacing w:after="60" w:before="160" w:line="360"/>
        <w:jc w:val="left"/>
      </w:pPr>
      <w:r>
        <w:rPr>
          <w:rFonts w:ascii="SimHei" w:eastAsia="黑体" w:hAnsi="SimHei"/>
          <w:b w:val="false"/>
          <w:bCs w:val="false"/>
          <w:color w:val="000000"/>
          <w:sz w:val="22"/>
          <w:szCs w:val="22"/>
        </w:rPr>
        <w:t xml:space="preserve">第十八条　宣传规范</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乙方对外宣传应当使用甲方提供并审定的统一口径，不得使用"独家""国资企业""政府背书"等表述，不得作出任何收益承诺类表述。</w:t>
      </w:r>
    </w:p>
    <w:p>
      <w:pPr>
        <w:keepNext/>
        <w:spacing w:after="60" w:before="160" w:line="360"/>
        <w:jc w:val="left"/>
      </w:pPr>
      <w:r>
        <w:rPr>
          <w:rFonts w:ascii="SimHei" w:eastAsia="黑体" w:hAnsi="SimHei"/>
          <w:b w:val="false"/>
          <w:bCs w:val="false"/>
          <w:color w:val="000000"/>
          <w:sz w:val="22"/>
          <w:szCs w:val="22"/>
        </w:rPr>
        <w:t xml:space="preserve">第十九条　权益凭证</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平台权益凭证仅限消费核销，不得兑换、炒作或者公开交易。</w:t>
      </w:r>
    </w:p>
    <w:p>
      <w:pPr>
        <w:keepNext/>
        <w:spacing w:after="60" w:before="160" w:line="360"/>
        <w:jc w:val="left"/>
      </w:pPr>
      <w:r>
        <w:rPr>
          <w:rFonts w:ascii="SimHei" w:eastAsia="黑体" w:hAnsi="SimHei"/>
          <w:b w:val="false"/>
          <w:bCs w:val="false"/>
          <w:color w:val="000000"/>
          <w:sz w:val="22"/>
          <w:szCs w:val="22"/>
        </w:rPr>
        <w:t xml:space="preserve">第二十条　违规责任</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乙方违反本章任一条款的，甲方有权立即解除本合同，已收费用不予退还，并有权就其损失向乙方追偿。</w:t>
      </w:r>
    </w:p>
    <w:p>
      <w:pPr>
        <w:keepNext/>
        <w:spacing w:after="140" w:before="260" w:line="360"/>
        <w:jc w:val="center"/>
      </w:pPr>
      <w:r>
        <w:rPr>
          <w:rFonts w:ascii="SimHei" w:eastAsia="黑体" w:hAnsi="SimHei"/>
          <w:b w:val="false"/>
          <w:bCs w:val="false"/>
          <w:color w:val="000000"/>
          <w:sz w:val="28"/>
          <w:szCs w:val="28"/>
        </w:rPr>
        <w:t xml:space="preserve">第六章　考核、验收与服务响应</w:t>
      </w:r>
    </w:p>
    <w:p>
      <w:pPr>
        <w:keepNext/>
        <w:spacing w:after="60" w:before="160" w:line="360"/>
        <w:jc w:val="left"/>
      </w:pPr>
      <w:r>
        <w:rPr>
          <w:rFonts w:ascii="SimHei" w:eastAsia="黑体" w:hAnsi="SimHei"/>
          <w:b w:val="false"/>
          <w:bCs w:val="false"/>
          <w:color w:val="000000"/>
          <w:sz w:val="22"/>
          <w:szCs w:val="22"/>
        </w:rPr>
        <w:t xml:space="preserve">第二十一条　考核依据</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乙方的考核、股权奖励兑现、整改、解除及申诉事项，依考核办法执行。考核办法修订的，甲方应当提前 30 日书面通知乙方，修订不溯及既往。</w:t>
      </w:r>
    </w:p>
    <w:p>
      <w:pPr>
        <w:keepNext/>
        <w:spacing w:after="60" w:before="160" w:line="360"/>
        <w:jc w:val="left"/>
      </w:pPr>
      <w:r>
        <w:rPr>
          <w:rFonts w:ascii="SimHei" w:eastAsia="黑体" w:hAnsi="SimHei"/>
          <w:b w:val="false"/>
          <w:bCs w:val="false"/>
          <w:color w:val="000000"/>
          <w:sz w:val="22"/>
          <w:szCs w:val="22"/>
        </w:rPr>
        <w:t xml:space="preserve">第二十二条　考核指标</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年度考核指标为：品牌商誉 20%、业绩达标 60%、创新贡献 20%；乙方经营业绩应当连续两年复合增长不低于 30%。各项年度目标数值在《年度目标责任书》（附件二）中约定。</w:t>
      </w:r>
    </w:p>
    <w:p>
      <w:pPr>
        <w:keepNext/>
        <w:spacing w:after="60" w:before="160" w:line="360"/>
        <w:jc w:val="left"/>
      </w:pPr>
      <w:r>
        <w:rPr>
          <w:rFonts w:ascii="SimHei" w:eastAsia="黑体" w:hAnsi="SimHei"/>
          <w:b w:val="false"/>
          <w:bCs w:val="false"/>
          <w:color w:val="000000"/>
          <w:sz w:val="22"/>
          <w:szCs w:val="22"/>
        </w:rPr>
        <w:t xml:space="preserve">第二十三条　中期考核</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合作第一年度设中期考核。未经中期考核预警的事项，年末不得直接作为对乙方不利处置的依据。</w:t>
      </w:r>
    </w:p>
    <w:p>
      <w:pPr>
        <w:keepNext/>
        <w:spacing w:after="60" w:before="160" w:line="360"/>
        <w:jc w:val="left"/>
      </w:pPr>
      <w:r>
        <w:rPr>
          <w:rFonts w:ascii="SimHei" w:eastAsia="黑体" w:hAnsi="SimHei"/>
          <w:b w:val="false"/>
          <w:bCs w:val="false"/>
          <w:color w:val="000000"/>
          <w:sz w:val="22"/>
          <w:szCs w:val="22"/>
        </w:rPr>
        <w:t xml:space="preserve">第二十四条　验收</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乙方建制（人员、场地、部门）的正式验收，经考核委员会有表决权委员过半数通过后视为达标。</w:t>
      </w:r>
    </w:p>
    <w:p>
      <w:pPr>
        <w:keepNext/>
        <w:spacing w:after="60" w:before="160" w:line="360"/>
        <w:jc w:val="left"/>
      </w:pPr>
      <w:r>
        <w:rPr>
          <w:rFonts w:ascii="SimHei" w:eastAsia="黑体" w:hAnsi="SimHei"/>
          <w:b w:val="false"/>
          <w:bCs w:val="false"/>
          <w:color w:val="000000"/>
          <w:sz w:val="22"/>
          <w:szCs w:val="22"/>
        </w:rPr>
        <w:t xml:space="preserve">第二十五条　考核与合同解除的关系</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业绩考核结果不构成甲方解除本合同的事由；本合同的解除仅依第八章约定的情形发生。</w:t>
      </w:r>
    </w:p>
    <w:p>
      <w:pPr>
        <w:keepNext/>
        <w:spacing w:after="60" w:before="160" w:line="360"/>
        <w:jc w:val="left"/>
      </w:pPr>
      <w:r>
        <w:rPr>
          <w:rFonts w:ascii="SimHei" w:eastAsia="黑体" w:hAnsi="SimHei"/>
          <w:b w:val="false"/>
          <w:bCs w:val="false"/>
          <w:color w:val="000000"/>
          <w:sz w:val="22"/>
          <w:szCs w:val="22"/>
        </w:rPr>
        <w:t xml:space="preserve">第二十六条　服务响应</w:t>
      </w:r>
    </w:p>
    <w:p>
      <w:pPr>
        <w:keepNext w:val="false"/>
        <w:spacing w:after="80" w:before="0" w:line="360"/>
        <w:ind w:firstLine="420"/>
        <w:jc w:val="both"/>
      </w:pPr>
      <w:r>
        <w:rPr>
          <w:rFonts w:ascii="Times New Roman" w:eastAsia="宋体" w:hAnsi="Times New Roman"/>
          <w:b w:val="false"/>
          <w:bCs w:val="false"/>
          <w:color w:val="000000"/>
          <w:sz w:val="21"/>
          <w:szCs w:val="21"/>
        </w:rPr>
        <w:t xml:space="preserve">客户投诉按下列时限响应处理，超时扣分计入年度商誉考核项，信用分与年度奖励比例挂钩：</w:t>
      </w:r>
    </w:p>
    <w:tbl>
      <w:tblPr>
        <w:tblW w:type="dxa" w:w="9026"/>
        <w:tblBorders>
          <w:top w:val="single" w:color="000000" w:sz="4"/>
          <w:left w:val="single" w:color="000000" w:sz="4"/>
          <w:bottom w:val="single" w:color="000000" w:sz="4"/>
          <w:right w:val="single" w:color="000000" w:sz="4"/>
          <w:insideH w:val="single" w:color="000000" w:sz="4"/>
          <w:insideV w:val="single" w:color="000000" w:sz="4"/>
        </w:tblBorders>
      </w:tblPr>
      <w:tblGrid>
        <w:gridCol w:w="3000"/>
        <w:gridCol w:w="2800"/>
        <w:gridCol w:w="3226"/>
      </w:tblGrid>
      <w:tr>
        <w:trPr>
          <w:cantSplit/>
          <w:tblHeader/>
        </w:trPr>
        <w:tc>
          <w:tcPr>
            <w:tcW w:type="dxa" w:w="3000"/>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责任主体</w:t>
            </w:r>
          </w:p>
        </w:tc>
        <w:tc>
          <w:tcPr>
            <w:tcW w:type="dxa" w:w="2800"/>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处理时限</w:t>
            </w:r>
          </w:p>
        </w:tc>
        <w:tc>
          <w:tcPr>
            <w:tcW w:type="dxa" w:w="3226"/>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超时处理</w:t>
            </w:r>
          </w:p>
        </w:tc>
      </w:tr>
      <w:tr>
        <w:trPr>
          <w:cantSplit/>
        </w:trPr>
        <w:tc>
          <w:tcPr>
            <w:tcW w:type="dxa" w:w="30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数据顾问</w:t>
            </w:r>
          </w:p>
        </w:tc>
        <w:tc>
          <w:tcPr>
            <w:tcW w:type="dxa" w:w="28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8 小时内响应处理</w:t>
            </w:r>
          </w:p>
        </w:tc>
        <w:tc>
          <w:tcPr>
            <w:tcW w:type="dxa" w:w="3226"/>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由所属区县事业部记分</w:t>
            </w:r>
          </w:p>
        </w:tc>
      </w:tr>
      <w:tr>
        <w:trPr>
          <w:cantSplit/>
        </w:trPr>
        <w:tc>
          <w:tcPr>
            <w:tcW w:type="dxa" w:w="30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区县事业部</w:t>
            </w:r>
          </w:p>
        </w:tc>
        <w:tc>
          <w:tcPr>
            <w:tcW w:type="dxa" w:w="28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24 小时内办结</w:t>
            </w:r>
          </w:p>
        </w:tc>
        <w:tc>
          <w:tcPr>
            <w:tcW w:type="dxa" w:w="3226"/>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升级乙方督办并扣分</w:t>
            </w:r>
          </w:p>
        </w:tc>
      </w:tr>
      <w:tr>
        <w:trPr>
          <w:cantSplit/>
        </w:trPr>
        <w:tc>
          <w:tcPr>
            <w:tcW w:type="dxa" w:w="3000"/>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乙方</w:t>
            </w:r>
          </w:p>
        </w:tc>
        <w:tc>
          <w:tcPr>
            <w:tcW w:type="dxa" w:w="2800"/>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72 小时内办结</w:t>
            </w:r>
          </w:p>
        </w:tc>
        <w:tc>
          <w:tcPr>
            <w:tcW w:type="dxa" w:w="3226"/>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上报甲方一次，扣 10 分</w:t>
            </w:r>
          </w:p>
        </w:tc>
      </w:tr>
    </w:tbl>
    <w:p>
      <w:pPr>
        <w:keepNext/>
        <w:spacing w:after="140" w:before="260" w:line="360"/>
        <w:jc w:val="center"/>
      </w:pPr>
      <w:r>
        <w:rPr>
          <w:rFonts w:ascii="SimHei" w:eastAsia="黑体" w:hAnsi="SimHei"/>
          <w:b w:val="false"/>
          <w:bCs w:val="false"/>
          <w:color w:val="000000"/>
          <w:sz w:val="28"/>
          <w:szCs w:val="28"/>
        </w:rPr>
        <w:t xml:space="preserve">第七章　区县事业部管理</w:t>
      </w:r>
    </w:p>
    <w:p>
      <w:pPr>
        <w:keepNext/>
        <w:spacing w:after="60" w:before="160" w:line="360"/>
        <w:jc w:val="left"/>
      </w:pPr>
      <w:r>
        <w:rPr>
          <w:rFonts w:ascii="SimHei" w:eastAsia="黑体" w:hAnsi="SimHei"/>
          <w:b w:val="false"/>
          <w:bCs w:val="false"/>
          <w:color w:val="000000"/>
          <w:sz w:val="22"/>
          <w:szCs w:val="22"/>
        </w:rPr>
        <w:t xml:space="preserve">第二十七条　管理责任</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乙方对区县事业部的招募、签约、培训、考核及验收承担全部管理责任。区县事业部向乙方缴纳的费用归乙方所有，甲方不参与定价，不予分成。</w:t>
      </w:r>
    </w:p>
    <w:p>
      <w:pPr>
        <w:keepNext/>
        <w:spacing w:after="60" w:before="160" w:line="360"/>
        <w:jc w:val="left"/>
      </w:pPr>
      <w:r>
        <w:rPr>
          <w:rFonts w:ascii="SimHei" w:eastAsia="黑体" w:hAnsi="SimHei"/>
          <w:b w:val="false"/>
          <w:bCs w:val="false"/>
          <w:color w:val="000000"/>
          <w:sz w:val="22"/>
          <w:szCs w:val="22"/>
        </w:rPr>
        <w:t xml:space="preserve">第二十八条　节点开通</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区县事业部经乙方考核、验收合格的，由乙方向甲方提交材料，申请开通该区县节点；甲方应当在约定时限内完成开通。</w:t>
      </w:r>
    </w:p>
    <w:p>
      <w:pPr>
        <w:keepNext/>
        <w:spacing w:after="60" w:before="160" w:line="360"/>
        <w:jc w:val="left"/>
      </w:pPr>
      <w:r>
        <w:rPr>
          <w:rFonts w:ascii="SimHei" w:eastAsia="黑体" w:hAnsi="SimHei"/>
          <w:b w:val="false"/>
          <w:bCs w:val="false"/>
          <w:color w:val="000000"/>
          <w:sz w:val="22"/>
          <w:szCs w:val="22"/>
        </w:rPr>
        <w:t xml:space="preserve">第二十九条　责任传导</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区县事业部违反本合同第五章约定情形的，视同乙方违约。乙方应当在其与区县事业部的合同中作出同等约束，并负责追究相应责任。</w:t>
      </w:r>
    </w:p>
    <w:p>
      <w:pPr>
        <w:keepNext/>
        <w:spacing w:after="140" w:before="260" w:line="360"/>
        <w:jc w:val="center"/>
      </w:pPr>
      <w:r>
        <w:rPr>
          <w:rFonts w:ascii="SimHei" w:eastAsia="黑体" w:hAnsi="SimHei"/>
          <w:b w:val="false"/>
          <w:bCs w:val="false"/>
          <w:color w:val="000000"/>
          <w:sz w:val="28"/>
          <w:szCs w:val="28"/>
        </w:rPr>
        <w:t xml:space="preserve">第八章　转让、退出与解除</w:t>
      </w:r>
    </w:p>
    <w:p>
      <w:pPr>
        <w:keepNext/>
        <w:spacing w:after="60" w:before="160" w:line="360"/>
        <w:jc w:val="left"/>
      </w:pPr>
      <w:r>
        <w:rPr>
          <w:rFonts w:ascii="SimHei" w:eastAsia="黑体" w:hAnsi="SimHei"/>
          <w:b w:val="false"/>
          <w:bCs w:val="false"/>
          <w:color w:val="000000"/>
          <w:sz w:val="22"/>
          <w:szCs w:val="22"/>
        </w:rPr>
        <w:t xml:space="preserve">第三十条　转让</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经甲方书面审核同意，乙方可以转让本合同项下权利义务。受让方应当满足本合同全部建制与考核要求，权利义务概括转移。甲方按转让价款的 5% 收取审核与变更服务费。</w:t>
      </w:r>
    </w:p>
    <w:p>
      <w:pPr>
        <w:keepNext/>
        <w:spacing w:after="60" w:before="160" w:line="360"/>
        <w:jc w:val="left"/>
      </w:pPr>
      <w:r>
        <w:rPr>
          <w:rFonts w:ascii="SimHei" w:eastAsia="黑体" w:hAnsi="SimHei"/>
          <w:b w:val="false"/>
          <w:bCs w:val="false"/>
          <w:color w:val="000000"/>
          <w:sz w:val="22"/>
          <w:szCs w:val="22"/>
        </w:rPr>
        <w:t xml:space="preserve">第三十一条　主动退出</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乙方主动退出的，应当提前 90 日书面通知甲方，并完成下列交接：（一）在手区县事业部及商户的承接安排；（二）平台权限与数据的移交；（三）未了结投诉的处理。</w:t>
      </w:r>
    </w:p>
    <w:p>
      <w:pPr>
        <w:keepNext/>
        <w:spacing w:after="60" w:before="160" w:line="360"/>
        <w:jc w:val="left"/>
      </w:pPr>
      <w:r>
        <w:rPr>
          <w:rFonts w:ascii="SimHei" w:eastAsia="黑体" w:hAnsi="SimHei"/>
          <w:b w:val="false"/>
          <w:bCs w:val="false"/>
          <w:color w:val="000000"/>
          <w:sz w:val="22"/>
          <w:szCs w:val="22"/>
        </w:rPr>
        <w:t xml:space="preserve">第三十二条　解除程序</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因考核整改无效解除本合同的，依考核办法规定的程序办理，须经考核委员会五分之四以上表决通过，并由律师出具程序合法性意见。</w:t>
      </w:r>
    </w:p>
    <w:p>
      <w:pPr>
        <w:keepNext/>
        <w:spacing w:after="60" w:before="160" w:line="360"/>
        <w:jc w:val="left"/>
      </w:pPr>
      <w:r>
        <w:rPr>
          <w:rFonts w:ascii="SimHei" w:eastAsia="黑体" w:hAnsi="SimHei"/>
          <w:b w:val="false"/>
          <w:bCs w:val="false"/>
          <w:color w:val="000000"/>
          <w:sz w:val="22"/>
          <w:szCs w:val="22"/>
        </w:rPr>
        <w:t xml:space="preserve">第三十三条　立即解除</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乙方有下列情形之一的，甲方有权不经整改程序解除本合同：（一）违反第十六条合规底线；（二）以违规表述对外招揽；（三）擅自变更业务模式或者超范围转授权；（四）发生重大违法行为。</w:t>
      </w:r>
    </w:p>
    <w:p>
      <w:pPr>
        <w:keepNext/>
        <w:spacing w:after="60" w:before="160" w:line="360"/>
        <w:jc w:val="left"/>
      </w:pPr>
      <w:r>
        <w:rPr>
          <w:rFonts w:ascii="SimHei" w:eastAsia="黑体" w:hAnsi="SimHei"/>
          <w:b w:val="false"/>
          <w:bCs w:val="false"/>
          <w:color w:val="000000"/>
          <w:sz w:val="22"/>
          <w:szCs w:val="22"/>
        </w:rPr>
        <w:t xml:space="preserve">第三十四条　解除后果</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本合同解除的，乙方已缴各项费用不予退还（甲方根本违约的除外）；乙方的代理资格及平台技术服务同步终止，乙方应当立即停止使用甲方品牌与平台。</w:t>
      </w:r>
    </w:p>
    <w:p>
      <w:pPr>
        <w:keepNext/>
        <w:spacing w:after="140" w:before="260" w:line="360"/>
        <w:jc w:val="center"/>
      </w:pPr>
      <w:r>
        <w:rPr>
          <w:rFonts w:ascii="SimHei" w:eastAsia="黑体" w:hAnsi="SimHei"/>
          <w:b w:val="false"/>
          <w:bCs w:val="false"/>
          <w:color w:val="000000"/>
          <w:sz w:val="28"/>
          <w:szCs w:val="28"/>
        </w:rPr>
        <w:t xml:space="preserve">第九章　数据与知识产权</w:t>
      </w:r>
    </w:p>
    <w:p>
      <w:pPr>
        <w:keepNext/>
        <w:spacing w:after="60" w:before="160" w:line="360"/>
        <w:jc w:val="left"/>
      </w:pPr>
      <w:r>
        <w:rPr>
          <w:rFonts w:ascii="SimHei" w:eastAsia="黑体" w:hAnsi="SimHei"/>
          <w:b w:val="false"/>
          <w:bCs w:val="false"/>
          <w:color w:val="000000"/>
          <w:sz w:val="22"/>
          <w:szCs w:val="22"/>
        </w:rPr>
        <w:t xml:space="preserve">第三十五条　数据权属</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平台产生的系统数据、日志及模型归甲方所有。商户数据按平台规则确权，乙方不得主张对商户数据的所有权。乙方对本区域数据账本仅享有约定范围内的查询与使用权。</w:t>
      </w:r>
    </w:p>
    <w:p>
      <w:pPr>
        <w:keepNext/>
        <w:spacing w:after="60" w:before="160" w:line="360"/>
        <w:jc w:val="left"/>
      </w:pPr>
      <w:r>
        <w:rPr>
          <w:rFonts w:ascii="SimHei" w:eastAsia="黑体" w:hAnsi="SimHei"/>
          <w:b w:val="false"/>
          <w:bCs w:val="false"/>
          <w:color w:val="000000"/>
          <w:sz w:val="22"/>
          <w:szCs w:val="22"/>
        </w:rPr>
        <w:t xml:space="preserve">第三十六条　数据安全</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未经甲方书面同意，乙方不得将任何数据导出、转移或者提供给第三方。本合同终止后，乙方应当立即停止使用平台，销毁已导出数据并出具书面证明。</w:t>
      </w:r>
    </w:p>
    <w:p>
      <w:pPr>
        <w:keepNext/>
        <w:spacing w:after="140" w:before="260" w:line="360"/>
        <w:jc w:val="center"/>
      </w:pPr>
      <w:r>
        <w:rPr>
          <w:rFonts w:ascii="SimHei" w:eastAsia="黑体" w:hAnsi="SimHei"/>
          <w:b w:val="false"/>
          <w:bCs w:val="false"/>
          <w:color w:val="000000"/>
          <w:sz w:val="28"/>
          <w:szCs w:val="28"/>
        </w:rPr>
        <w:t xml:space="preserve">第十章　其他约定</w:t>
      </w:r>
    </w:p>
    <w:p>
      <w:pPr>
        <w:keepNext/>
        <w:spacing w:after="60" w:before="160" w:line="360"/>
        <w:jc w:val="left"/>
      </w:pPr>
      <w:r>
        <w:rPr>
          <w:rFonts w:ascii="SimHei" w:eastAsia="黑体" w:hAnsi="SimHei"/>
          <w:b w:val="false"/>
          <w:bCs w:val="false"/>
          <w:color w:val="000000"/>
          <w:sz w:val="22"/>
          <w:szCs w:val="22"/>
        </w:rPr>
        <w:t xml:space="preserve">第三十七条　争议解决</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因本合同发生的争议，双方应当首先协商解决；协商不成的，提交考核委员会调解；调解不成的，任何一方均有权提交〔　〕仲裁委员会仲裁，仲裁裁决为终局裁决，仲裁程序不公开进行。</w:t>
      </w:r>
    </w:p>
    <w:p>
      <w:pPr>
        <w:keepNext/>
        <w:spacing w:after="60" w:before="160" w:line="360"/>
        <w:jc w:val="left"/>
      </w:pPr>
      <w:r>
        <w:rPr>
          <w:rFonts w:ascii="SimHei" w:eastAsia="黑体" w:hAnsi="SimHei"/>
          <w:b w:val="false"/>
          <w:bCs w:val="false"/>
          <w:color w:val="000000"/>
          <w:sz w:val="22"/>
          <w:szCs w:val="22"/>
        </w:rPr>
        <w:t xml:space="preserve">第三十八条　保密</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双方对因签订和履行本合同知悉的对方商业秘密及未公开信息负有保密义务，未经对方书面同意不得向任何第三方披露；本条义务不因本合同的解除或者终止而失效。</w:t>
      </w:r>
    </w:p>
    <w:p>
      <w:pPr>
        <w:keepNext/>
        <w:spacing w:after="60" w:before="160" w:line="360"/>
        <w:jc w:val="left"/>
      </w:pPr>
      <w:r>
        <w:rPr>
          <w:rFonts w:ascii="SimHei" w:eastAsia="黑体" w:hAnsi="SimHei"/>
          <w:b w:val="false"/>
          <w:bCs w:val="false"/>
          <w:color w:val="000000"/>
          <w:sz w:val="22"/>
          <w:szCs w:val="22"/>
        </w:rPr>
        <w:t xml:space="preserve">第三十九条　通知与送达</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一方按照本合同载明的地址或者双方书面确认的电子送达方式发出的通知，自送达或者依法视为送达之日起生效。</w:t>
      </w:r>
    </w:p>
    <w:p>
      <w:pPr>
        <w:keepNext/>
        <w:spacing w:after="60" w:before="160" w:line="360"/>
        <w:jc w:val="left"/>
      </w:pPr>
      <w:r>
        <w:rPr>
          <w:rFonts w:ascii="SimHei" w:eastAsia="黑体" w:hAnsi="SimHei"/>
          <w:b w:val="false"/>
          <w:bCs w:val="false"/>
          <w:color w:val="000000"/>
          <w:sz w:val="22"/>
          <w:szCs w:val="22"/>
        </w:rPr>
        <w:t xml:space="preserve">第四十条　生效与附件</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本合同自双方盖章之日起生效，一式〔　〕份，双方各执〔　〕份，具有同等法律效力。下列附件为本合同组成部分，与本合同具有同等效力：</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附件一：《省区县事业部考核办法》（SC-BF-2026-001）；</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附件二：《年度目标责任书》；</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附件三：授权区域市县（区）清单；</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附件四：《区县事业部代理权合同》模板；</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附件五：收益统计范围与口径。</w:t>
      </w:r>
    </w:p>
    <w:p>
      <w:pPr>
        <w:spacing w:after="200" w:before="0"/>
      </w:pPr>
    </w:p>
    <w:p>
      <w:pPr>
        <w:keepNext w:val="false"/>
        <w:spacing w:after="60" w:before="0" w:line="360"/>
        <w:jc w:val="both"/>
      </w:pPr>
      <w:r>
        <w:rPr>
          <w:rFonts w:ascii="Times New Roman" w:eastAsia="宋体" w:hAnsi="Times New Roman"/>
          <w:b w:val="false"/>
          <w:bCs w:val="false"/>
          <w:color w:val="000000"/>
          <w:sz w:val="21"/>
          <w:szCs w:val="21"/>
        </w:rPr>
        <w:t xml:space="preserve">（以下无正文，为签署栏）</w:t>
      </w:r>
    </w:p>
    <w:p>
      <w:pPr>
        <w:spacing w:after="60" w:before="0"/>
      </w:pPr>
    </w:p>
    <w:tbl>
      <w:tblPr>
        <w:tblW w:type="dxa" w:w="9026"/>
        <w:tblBorders>
          <w:top w:val="none" w:color="auto" w:sz="0"/>
          <w:left w:val="none" w:color="auto" w:sz="0"/>
          <w:bottom w:val="none" w:color="auto" w:sz="0"/>
          <w:right w:val="none" w:color="auto" w:sz="0"/>
          <w:insideH w:val="none" w:color="auto" w:sz="0"/>
          <w:insideV w:val="none" w:color="auto" w:sz="0"/>
        </w:tblBorders>
      </w:tblPr>
      <w:tblGrid>
        <w:gridCol w:w="4513"/>
        <w:gridCol w:w="4513"/>
      </w:tblGrid>
      <w:tr>
        <w:tc>
          <w:tcPr>
            <w:tcW w:type="dxa" w:w="4513"/>
            <w:tcMar>
              <w:top w:type="dxa" w:w="100"/>
              <w:left w:type="dxa" w:w="60"/>
              <w:bottom w:type="dxa" w:w="100"/>
              <w:right w:type="dxa" w:w="60"/>
            </w:tcMar>
          </w:tcPr>
          <w:p>
            <w:pPr>
              <w:keepNext w:val="false"/>
              <w:spacing w:after="200" w:before="0" w:line="360"/>
              <w:jc w:val="both"/>
            </w:pPr>
            <w:r>
              <w:rPr>
                <w:rFonts w:ascii="Times New Roman" w:eastAsia="宋体" w:hAnsi="Times New Roman"/>
                <w:b w:val="false"/>
                <w:bCs w:val="false"/>
                <w:color w:val="000000"/>
                <w:sz w:val="21"/>
                <w:szCs w:val="21"/>
              </w:rPr>
              <w:t xml:space="preserve">甲方（盖章）：浙江数昌科技有限公司</w:t>
            </w:r>
          </w:p>
          <w:p>
            <w:pPr>
              <w:keepNext w:val="false"/>
              <w:spacing w:after="200" w:before="0" w:line="360"/>
              <w:jc w:val="both"/>
            </w:pPr>
            <w:r>
              <w:rPr>
                <w:rFonts w:ascii="Times New Roman" w:eastAsia="宋体" w:hAnsi="Times New Roman"/>
                <w:b w:val="false"/>
                <w:bCs w:val="false"/>
                <w:color w:val="000000"/>
                <w:sz w:val="21"/>
                <w:szCs w:val="21"/>
              </w:rPr>
              <w:t xml:space="preserve">法定代表人或授权代表（签字）：</w:t>
            </w:r>
          </w:p>
          <w:p>
            <w:pPr>
              <w:keepNext w:val="false"/>
              <w:spacing w:after="0" w:before="0" w:line="360"/>
              <w:jc w:val="both"/>
            </w:pPr>
            <w:r>
              <w:rPr>
                <w:rFonts w:ascii="Times New Roman" w:eastAsia="宋体" w:hAnsi="Times New Roman"/>
                <w:b w:val="false"/>
                <w:bCs w:val="false"/>
                <w:color w:val="000000"/>
                <w:sz w:val="21"/>
                <w:szCs w:val="21"/>
              </w:rPr>
              <w:t xml:space="preserve">日期：　　　　年　　月　　日</w:t>
            </w:r>
          </w:p>
        </w:tc>
        <w:tc>
          <w:tcPr>
            <w:tcW w:type="dxa" w:w="4513"/>
            <w:tcMar>
              <w:top w:type="dxa" w:w="100"/>
              <w:left w:type="dxa" w:w="60"/>
              <w:bottom w:type="dxa" w:w="100"/>
              <w:right w:type="dxa" w:w="60"/>
            </w:tcMar>
          </w:tcPr>
          <w:p>
            <w:pPr>
              <w:keepNext w:val="false"/>
              <w:spacing w:after="200" w:before="0" w:line="360"/>
              <w:jc w:val="both"/>
            </w:pPr>
            <w:r>
              <w:rPr>
                <w:rFonts w:ascii="Times New Roman" w:eastAsia="宋体" w:hAnsi="Times New Roman"/>
                <w:b w:val="false"/>
                <w:bCs w:val="false"/>
                <w:color w:val="000000"/>
                <w:sz w:val="21"/>
                <w:szCs w:val="21"/>
              </w:rPr>
              <w:t xml:space="preserve">乙方（盖章）：〔　〕</w:t>
            </w:r>
          </w:p>
          <w:p>
            <w:pPr>
              <w:keepNext w:val="false"/>
              <w:spacing w:after="200" w:before="0" w:line="360"/>
              <w:jc w:val="both"/>
            </w:pPr>
            <w:r>
              <w:rPr>
                <w:rFonts w:ascii="Times New Roman" w:eastAsia="宋体" w:hAnsi="Times New Roman"/>
                <w:b w:val="false"/>
                <w:bCs w:val="false"/>
                <w:color w:val="000000"/>
                <w:sz w:val="21"/>
                <w:szCs w:val="21"/>
              </w:rPr>
              <w:t xml:space="preserve">法定代表人或授权代表（签字）：</w:t>
            </w:r>
          </w:p>
          <w:p>
            <w:pPr>
              <w:keepNext w:val="false"/>
              <w:spacing w:after="0" w:before="0" w:line="360"/>
              <w:jc w:val="both"/>
            </w:pPr>
            <w:r>
              <w:rPr>
                <w:rFonts w:ascii="Times New Roman" w:eastAsia="宋体" w:hAnsi="Times New Roman"/>
                <w:b w:val="false"/>
                <w:bCs w:val="false"/>
                <w:color w:val="000000"/>
                <w:sz w:val="21"/>
                <w:szCs w:val="21"/>
              </w:rPr>
              <w:t xml:space="preserve">日期：　　　　年　　月　　日</w:t>
            </w:r>
          </w:p>
        </w:tc>
      </w:tr>
    </w:tbl>
    <w:sectPr>
      <w:headerReference w:type="default" r:id="rId7"/>
      <w:footerReference w:type="default" r:id="rId8"/>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Times New Roman" w:eastAsia="宋体" w:hAnsi="Times New Roman"/>
        <w:b w:val="false"/>
        <w:bCs w:val="false"/>
        <w:color w:val="000000"/>
        <w:sz w:val="18"/>
        <w:szCs w:val="18"/>
      </w:rPr>
      <w:t xml:space="preserve">第 </w:t>
    </w:r>
    <w:r>
      <w:rPr>
        <w:rFonts w:ascii="Times New Roman" w:eastAsia="宋体" w:hAnsi="Times New Roman"/>
        <w:sz w:val="18"/>
        <w:szCs w:val="18"/>
      </w:rPr>
      <w:fldChar w:fldCharType="begin"/>
      <w:instrText xml:space="preserve">PAGE</w:instrText>
      <w:fldChar w:fldCharType="separate"/>
      <w:fldChar w:fldCharType="end"/>
    </w:r>
    <w:r>
      <w:rPr>
        <w:rFonts w:ascii="Times New Roman" w:eastAsia="宋体" w:hAnsi="Times New Roman"/>
        <w:b w:val="false"/>
        <w:bCs w:val="false"/>
        <w:color w:val="000000"/>
        <w:sz w:val="18"/>
        <w:szCs w:val="18"/>
      </w:rPr>
      <w:t xml:space="preserve"> 页　共 </w:t>
    </w:r>
    <w:r>
      <w:rPr>
        <w:rFonts w:ascii="Times New Roman" w:eastAsia="宋体" w:hAnsi="Times New Roman"/>
        <w:sz w:val="18"/>
        <w:szCs w:val="18"/>
      </w:rPr>
      <w:fldChar w:fldCharType="begin"/>
      <w:instrText xml:space="preserve">NUMPAGES</w:instrText>
      <w:fldChar w:fldCharType="separate"/>
      <w:fldChar w:fldCharType="end"/>
    </w:r>
    <w:r>
      <w:rPr>
        <w:rFonts w:ascii="Times New Roman" w:eastAsia="宋体" w:hAnsi="Times New Roman"/>
        <w:b w:val="false"/>
        <w:bCs w:val="false"/>
        <w:color w:val="000000"/>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jc w:val="right"/>
    </w:pPr>
    <w:r>
      <w:rPr>
        <w:rFonts w:ascii="Times New Roman" w:eastAsia="宋体" w:hAnsi="Times New Roman"/>
        <w:b w:val="false"/>
        <w:bCs w:val="false"/>
        <w:color w:val="000000"/>
        <w:sz w:val="18"/>
        <w:szCs w:val="18"/>
      </w:rPr>
      <w:t xml:space="preserve">SC-HT-2026-001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olor w:val="00000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2026-08-10T17:08:18.516Z</dcterms:created>
  <dcterms:modified xsi:type="dcterms:W3CDTF">2026-08-10T17:08:18.517Z</dcterms:modified>
</cp:coreProperties>
</file>

<file path=docProps/custom.xml><?xml version="1.0" encoding="utf-8"?>
<Properties xmlns="http://schemas.openxmlformats.org/officeDocument/2006/custom-properties" xmlns:vt="http://schemas.openxmlformats.org/officeDocument/2006/docPropsVTypes"/>
</file>