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right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文件编号：〔省司简称〕-BF-2026-〔　〕</w:t>
      </w:r>
    </w:p>
    <w:p>
      <w:pPr>
        <w:spacing w:after="120" w:before="120" w:line="500"/>
        <w:jc w:val="center"/>
      </w:pPr>
      <w:r>
        <w:rPr>
          <w:rFonts w:ascii="SimHei" w:eastAsia="黑体" w:hAnsi="SimHei"/>
          <w:b w:val="false"/>
          <w:bCs w:val="false"/>
          <w:color w:val="000000"/>
          <w:sz w:val="44"/>
          <w:szCs w:val="44"/>
        </w:rPr>
        <w:t xml:space="preserve">区县事业部考核细则</w:t>
      </w:r>
    </w:p>
    <w:p>
      <w:pPr>
        <w:spacing w:after="200" w:before="0"/>
        <w:jc w:val="center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（拟定稿模板，由省级公司定名后以其名义发布；供内部审议使用）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第一章　总则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第一条　目的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为规范区县事业部的考核、奖励、服务与退出管理，使各项管理动作有标准、有程序、有记录，制定本细则。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第二条　适用范围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本细则适用于与〔省级公司全称〕（以下简称本公司）签订《区县事业部代理权合同》的区县事业部。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第三条　基本原则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（一）公平：同级同标准，不因人设岗设标；（二）科学：指标可量化、可核验、可追溯；（三）帮扶优先：考核以促进达标为目的。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第四条　与合同的关系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本细则作为《区县事业部代理权合同》附件签署，与合同具有同等法律效力；修订应当提前 30 日书面通知区县事业部，不溯及既往。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第二章　考核指标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第五条　指标构成</w:t>
      </w:r>
    </w:p>
    <w:p>
      <w:pPr>
        <w:keepNext w:val="false"/>
        <w:spacing w:after="8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年度考核总分 100 分，由品牌商誉 20 分、经营业绩 60 分、创新贡献 20 分构成：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000"/>
        <w:gridCol w:w="1200"/>
        <w:gridCol w:w="5826"/>
      </w:tblGrid>
      <w:tr>
        <w:trPr>
          <w:cantSplit/>
          <w:tblHeader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大类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分值</w:t>
            </w:r>
          </w:p>
        </w:tc>
        <w:tc>
          <w:tcPr>
            <w:tcW w:type="dxa" w:w="58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细项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品牌商誉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20</w:t>
            </w:r>
          </w:p>
        </w:tc>
        <w:tc>
          <w:tcPr>
            <w:tcW w:type="dxa" w:w="58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无重大投诉（10）；服务响应达标（10，按第四章执行）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经营业绩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60</w:t>
            </w:r>
          </w:p>
        </w:tc>
        <w:tc>
          <w:tcPr>
            <w:tcW w:type="dxa" w:w="58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商户接入数（30）；培训组织与持证（20）；商户活跃度（10）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创新贡献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20</w:t>
            </w:r>
          </w:p>
        </w:tc>
        <w:tc>
          <w:tcPr>
            <w:tcW w:type="dxa" w:w="58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本地场景创新（10）；案例与经验输出（10）</w:t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第六条　年度目标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各项年度目标数值在《年度目标责任书》中约定，责任书作为本细则的执行附件；未签订责任书的年度，经营业绩项按满分的 60% 计。年度持证人数按所属档位执行：头部档不低于 215 人、腰部档不低于 125 人、尾部档不低于 65 人，持证率按 60% 转化线计算。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第三章　考核周期与中期考核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第七条　考核周期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400"/>
        <w:gridCol w:w="6626"/>
      </w:tblGrid>
      <w:tr>
        <w:trPr>
          <w:cantSplit/>
          <w:tblHeader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时点</w:t>
            </w:r>
          </w:p>
        </w:tc>
        <w:tc>
          <w:tcPr>
            <w:tcW w:type="dxa" w:w="6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内容</w:t>
            </w:r>
          </w:p>
        </w:tc>
      </w:tr>
      <w:tr>
        <w:trPr>
          <w:cantSplit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年初</w:t>
            </w:r>
          </w:p>
        </w:tc>
        <w:tc>
          <w:tcPr>
            <w:tcW w:type="dxa" w:w="6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签订《年度目标责任书》，明确各项目标数值</w:t>
            </w:r>
          </w:p>
        </w:tc>
      </w:tr>
      <w:tr>
        <w:trPr>
          <w:cantSplit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第 6 个月</w:t>
            </w:r>
          </w:p>
        </w:tc>
        <w:tc>
          <w:tcPr>
            <w:tcW w:type="dxa" w:w="6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中期考核，出具进度评估与预警</w:t>
            </w:r>
          </w:p>
        </w:tc>
      </w:tr>
      <w:tr>
        <w:trPr>
          <w:cantSplit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第 9 个月</w:t>
            </w:r>
          </w:p>
        </w:tc>
        <w:tc>
          <w:tcPr>
            <w:tcW w:type="dxa" w:w="6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二次预警，书面告知年度不达标的可能后果</w:t>
            </w:r>
          </w:p>
        </w:tc>
      </w:tr>
      <w:tr>
        <w:trPr>
          <w:cantSplit/>
        </w:trPr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年末</w:t>
            </w:r>
          </w:p>
        </w:tc>
        <w:tc>
          <w:tcPr>
            <w:tcW w:type="dxa" w:w="6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年度考核，出具正式结果并书面送达</w:t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第八条　中期帮扶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中期考核中低于年度目标 50% 的项目，本公司应当指派专人对接协助，并形成书面记录。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第九条　程序限制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未经中期考核预警的事项，年末考核不得直接作为收回区域授权的依据。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第四章　服务响应与扣分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第十条　响应时限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800"/>
        <w:gridCol w:w="2600"/>
        <w:gridCol w:w="3626"/>
      </w:tblGrid>
      <w:tr>
        <w:trPr>
          <w:cantSplit/>
          <w:tblHeader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责任层级</w:t>
            </w:r>
          </w:p>
        </w:tc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处理时限</w:t>
            </w:r>
          </w:p>
        </w:tc>
        <w:tc>
          <w:tcPr>
            <w:tcW w:type="dxa" w:w="3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超时扣分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数据顾问</w:t>
            </w:r>
          </w:p>
        </w:tc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8 小时内响应处理</w:t>
            </w:r>
          </w:p>
        </w:tc>
        <w:tc>
          <w:tcPr>
            <w:tcW w:type="dxa" w:w="3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区县事业部扣 2 分／件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区县事业部</w:t>
            </w:r>
          </w:p>
        </w:tc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24 小时内办结</w:t>
            </w:r>
          </w:p>
        </w:tc>
        <w:tc>
          <w:tcPr>
            <w:tcW w:type="dxa" w:w="3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未办结自动升级本公司督办，区县事业部再扣 1 分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本公司</w:t>
            </w:r>
          </w:p>
        </w:tc>
        <w:tc>
          <w:tcPr>
            <w:tcW w:type="dxa" w:w="2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72 小时内办结</w:t>
            </w:r>
          </w:p>
        </w:tc>
        <w:tc>
          <w:tcPr>
            <w:tcW w:type="dxa" w:w="36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——</w:t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第十一条　累计处理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单一年度内因响应超时累计扣分达 10 分的，品牌商誉项视为不达标；累计达 20 分的，直接进入整改程序。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第十二条　计时规则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投诉受理、计时与升级由系统自动记录，不接受人工补录。投诉入口应当在平台内明示，处理结果应当书面回复投诉人。信用分与年度奖励比例挂钩。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第五章　考核结果的应用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第十三条　评级与处理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000"/>
        <w:gridCol w:w="1600"/>
        <w:gridCol w:w="5426"/>
      </w:tblGrid>
      <w:tr>
        <w:trPr>
          <w:cantSplit/>
          <w:tblHeader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得分</w:t>
            </w:r>
          </w:p>
        </w:tc>
        <w:tc>
          <w:tcPr>
            <w:tcW w:type="dxa" w:w="1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评级</w:t>
            </w:r>
          </w:p>
        </w:tc>
        <w:tc>
          <w:tcPr>
            <w:tcW w:type="dxa" w:w="54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处理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90 分以上</w:t>
            </w:r>
          </w:p>
        </w:tc>
        <w:tc>
          <w:tcPr>
            <w:tcW w:type="dxa" w:w="1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优秀</w:t>
            </w:r>
          </w:p>
        </w:tc>
        <w:tc>
          <w:tcPr>
            <w:tcW w:type="dxa" w:w="54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年度奖励比例上浮，计入优先续约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75–89 分</w:t>
            </w:r>
          </w:p>
        </w:tc>
        <w:tc>
          <w:tcPr>
            <w:tcW w:type="dxa" w:w="1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达标</w:t>
            </w:r>
          </w:p>
        </w:tc>
        <w:tc>
          <w:tcPr>
            <w:tcW w:type="dxa" w:w="54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正常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60–74 分</w:t>
            </w:r>
          </w:p>
        </w:tc>
        <w:tc>
          <w:tcPr>
            <w:tcW w:type="dxa" w:w="1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预警</w:t>
            </w:r>
          </w:p>
        </w:tc>
        <w:tc>
          <w:tcPr>
            <w:tcW w:type="dxa" w:w="54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进入辅导期，本公司指派专人协助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60 分以下</w:t>
            </w:r>
          </w:p>
        </w:tc>
        <w:tc>
          <w:tcPr>
            <w:tcW w:type="dxa" w:w="1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不达标</w:t>
            </w:r>
          </w:p>
        </w:tc>
        <w:tc>
          <w:tcPr>
            <w:tcW w:type="dxa" w:w="54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进入整改程序（90 日），整改期间授权保留</w:t>
            </w:r>
          </w:p>
        </w:tc>
      </w:tr>
      <w:tr>
        <w:trPr>
          <w:cantSplit/>
        </w:trPr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整改期满仍低于 60 分</w:t>
            </w:r>
          </w:p>
        </w:tc>
        <w:tc>
          <w:tcPr>
            <w:tcW w:type="dxa" w:w="1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整改无效</w:t>
            </w:r>
          </w:p>
        </w:tc>
        <w:tc>
          <w:tcPr>
            <w:tcW w:type="dxa" w:w="54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本公司收回区域授权，按合同约定办理</w:t>
            </w:r>
          </w:p>
        </w:tc>
      </w:tr>
    </w:tbl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第六章　验收与节点开通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第十四条　验收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区县事业部的建制（场地、人员）与试运营考核由本公司组织验收；验收合格的，由本公司提交材料申请开通该区县节点。节点开通前，区县事业部不得以节点名义对外开展经营活动。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第七章　申诉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第十五条　申诉与复核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区县事业部对考核结果或者处置决定有异议的，应当自结果送达之日起 15 日内向本公司书面申诉并附证据材料；本公司应当自受理之日起 30 日内复核并出具书面结论。对复核结论仍有异议的，按合同约定的争议解决条款办理。</w:t>
      </w:r>
    </w:p>
    <w:p>
      <w:pPr>
        <w:keepNext/>
        <w:spacing w:after="140" w:before="260" w:line="360"/>
        <w:jc w:val="center"/>
      </w:pPr>
      <w:r>
        <w:rPr>
          <w:rFonts w:ascii="SimHei" w:eastAsia="黑体" w:hAnsi="SimHei"/>
          <w:b w:val="false"/>
          <w:bCs w:val="false"/>
          <w:color w:val="000000"/>
          <w:sz w:val="28"/>
          <w:szCs w:val="28"/>
        </w:rPr>
        <w:t xml:space="preserve">第八章　附则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第十六条　生效与解释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本细则经本公司批准后生效，作为《区县事业部代理权合同》附件签署；本细则由本公司负责解释。</w:t>
      </w:r>
    </w:p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第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　共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区县事业部考核细则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2026-08-10T17:08:18.749Z</dcterms:created>
  <dcterms:modified xsi:type="dcterms:W3CDTF">2026-08-10T17:08:18.750Z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