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/>
        <w:jc w:val="right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文件编号：SC-NB-2026-001　密级：内部</w:t>
      </w:r>
    </w:p>
    <w:p>
      <w:pPr>
        <w:spacing w:after="120" w:before="120" w:line="500"/>
        <w:jc w:val="center"/>
      </w:pPr>
      <w:r>
        <w:rPr>
          <w:rFonts w:ascii="SimHei" w:eastAsia="黑体" w:hAnsi="SimHei"/>
          <w:b w:val="false"/>
          <w:bCs w:val="false"/>
          <w:color w:val="000000"/>
          <w:sz w:val="44"/>
          <w:szCs w:val="44"/>
        </w:rPr>
        <w:t xml:space="preserve">考核委员会组织规则</w:t>
      </w:r>
    </w:p>
    <w:p>
      <w:pPr>
        <w:spacing w:after="200" w:before="0"/>
        <w:jc w:val="center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（内部文件，不作为合同附件，不对合作方及外部机构提供）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第一条　定位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考核委员会是公司对省事业部、区县事业部实施考核、奖惩、处置及争议调解的议事机构。本规则规定其组成、职责与议事程序；《省区县事业部考核办法》仅引用本规则中的表决规则与留痕要求。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第二条　组成</w:t>
      </w:r>
    </w:p>
    <w:p>
      <w:pPr>
        <w:keepNext w:val="false"/>
        <w:spacing w:after="8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考核委员会共设 6 席，其中 5 席有表决权：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2200"/>
        <w:gridCol w:w="1200"/>
        <w:gridCol w:w="2400"/>
        <w:gridCol w:w="3226"/>
      </w:tblGrid>
      <w:tr>
        <w:trPr>
          <w:cantSplit/>
          <w:tblHeader/>
        </w:trPr>
        <w:tc>
          <w:tcPr>
            <w:tcW w:type="dxa" w:w="2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席位</w:t>
            </w:r>
          </w:p>
        </w:tc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人数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产生方式</w:t>
            </w:r>
          </w:p>
        </w:tc>
        <w:tc>
          <w:tcPr>
            <w:tcW w:type="dxa" w:w="3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说明</w:t>
            </w:r>
          </w:p>
        </w:tc>
      </w:tr>
      <w:tr>
        <w:trPr>
          <w:cantSplit/>
        </w:trPr>
        <w:tc>
          <w:tcPr>
            <w:tcW w:type="dxa" w:w="2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管理层委员</w:t>
            </w:r>
          </w:p>
        </w:tc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3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含至少 1 名不直接分管被考核区域的高管</w:t>
            </w:r>
          </w:p>
        </w:tc>
      </w:tr>
      <w:tr>
        <w:trPr>
          <w:cantSplit/>
        </w:trPr>
        <w:tc>
          <w:tcPr>
            <w:tcW w:type="dxa" w:w="2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事业部代表</w:t>
            </w:r>
          </w:p>
        </w:tc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由同级事业部推举</w:t>
            </w:r>
          </w:p>
        </w:tc>
        <w:tc>
          <w:tcPr>
            <w:tcW w:type="dxa" w:w="3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任期一年，不得连任两届以上</w:t>
            </w:r>
          </w:p>
        </w:tc>
      </w:tr>
      <w:tr>
        <w:trPr>
          <w:cantSplit/>
        </w:trPr>
        <w:tc>
          <w:tcPr>
            <w:tcW w:type="dxa" w:w="2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外部专家</w:t>
            </w:r>
          </w:p>
        </w:tc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自专家委员会中指定</w:t>
            </w:r>
          </w:p>
        </w:tc>
        <w:tc>
          <w:tcPr>
            <w:tcW w:type="dxa" w:w="3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提供第三方视角</w:t>
            </w:r>
          </w:p>
        </w:tc>
      </w:tr>
      <w:tr>
        <w:trPr>
          <w:cantSplit/>
        </w:trPr>
        <w:tc>
          <w:tcPr>
            <w:tcW w:type="dxa" w:w="2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律师</w:t>
            </w:r>
          </w:p>
        </w:tc>
        <w:tc>
          <w:tcPr>
            <w:tcW w:type="dxa" w:w="1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合作律所指派</w:t>
            </w:r>
          </w:p>
        </w:tc>
        <w:tc>
          <w:tcPr>
            <w:tcW w:type="dxa" w:w="32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列席不表决，负责程序合法性把关并出具法律意见</w:t>
            </w:r>
          </w:p>
        </w:tc>
      </w:tr>
    </w:tbl>
    <w:p>
      <w:pPr>
        <w:spacing w:after="60" w:before="0"/>
      </w:pP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第三条　表决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（一）一般事项与省事业部正式验收，经有表决权委员过半数通过；（二）解除代理权事项须经五分之四以上（即 4 票）通过，并由律师出具程序合法性意见。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第四条　职责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一）审定年度与中期考核结果；（二）核定股权奖励的兑现、打折或者暂缓；（三）审议整改方案与整改结果；（四）审议解除代理权的提请；（五）受理合作方申诉并组织复核；（六）主持合同争议的调解；（七）每年检讨并提出考核办法的修订建议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第五条　回避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委员与被考核方存在直接利害关系的应当回避；申诉复核中，原经办委员应当回避。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第六条　留痕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每次会议应当形成书面纪要与表决记录；考核结果与处置意见应当书面送达被考核方。未经留痕的处置无效。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第七条　数据支持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考核指标数据由平台系统自动取数，委员会仅作判定，不承担统计职能；取数需求随平台开发需求清单统一提出。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第八条　生效与修订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本规则经公司决策层批准后生效；修订由考核委员会提出、公司决策层批准。</w:t>
      </w:r>
    </w:p>
    <w:sectPr>
      <w:headerReference w:type="default" r:id="rId7"/>
      <w:footerReference w:type="default" r:id="rId8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第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　共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SC-NB-2026-001 内部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/>
        <w:color w:val="00000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2026-08-10T17:08:18.695Z</dcterms:created>
  <dcterms:modified xsi:type="dcterms:W3CDTF">2026-08-10T17:08:18.696Z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